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Subtitle"/>
      </w:pPr>
      <w:r>
        <w:t xml:space="preserve">mvwizSystems</w:t>
      </w:r>
    </w:p>
    <w:p>
      <w:pPr>
        <w:pStyle w:val="Title"/>
      </w:pPr>
      <w:r>
        <w:t xml:space="preserve">클라우드 호스팅</w:t>
      </w:r>
    </w:p>
    <w:p>
      <w:pPr>
        <w:pStyle w:val="Heading1"/>
      </w:pPr>
      <w:r>
        <w:t xml:space="preserve">상품 요금 및 이용 조건</w:t>
      </w:r>
    </w:p>
    <w:p>
      <w:pPr>
        <w:pStyle w:val="Small"/>
      </w:pPr>
      <w:r>
        <w:t xml:space="preserve">버전 1.1 · 2026.09.28</w:t>
      </w:r>
    </w:p>
    <w:p>
      <w:pPr>
        <w:pStyle w:val="Heading1"/>
      </w:pPr>
      <w:r>
        <w:t xml:space="preserve">1. 상품 요금</w:t>
      </w:r>
    </w:p>
    <w:p>
      <w:pPr>
        <w:pStyle w:val="Normal"/>
      </w:pPr>
      <w:r>
        <w:t xml:space="preserve">월 기본요금 5,000원 · 월 트래픽 50GB 포함 · 50GB 초과분 1GB당 100원 · 부가세 별도. 0GB 또는 1GB만 사용해도 월 기본요금은 같습니다.</w:t>
      </w:r>
    </w:p>
    <w:tbl>
      <w:tblPr>
        <w:tblW w:w="9000" w:type="dxa"/>
        <w:tblBorders>
          <w:top w:val="single" w:sz="4" w:color="DCE4ED"/>
          <w:left w:val="single" w:sz="4" w:color="DCE4ED"/>
          <w:bottom w:val="single" w:sz="4" w:color="DCE4ED"/>
          <w:right w:val="single" w:sz="4" w:color="DCE4ED"/>
          <w:insideH w:val="single" w:sz="4" w:color="DCE4ED"/>
          <w:insideV w:val="single" w:sz="4" w:color="DCE4ED"/>
        </w:tblBorders>
      </w:tblPr>
      <w:tblGrid>
        <w:gridCol w:w="3000"/>
        <w:gridCol w:w="3000"/>
        <w:gridCol w:w="3000"/>
      </w:tblGrid>
      <w:tr>
        <w:tc>
          <w:tcPr>
            <w:tcW w:w="3000" w:type="dxa"/>
            <w:shd w:fill="EAF3FF"/>
          </w:tcPr>
          <w:p>
            <w:pPr>
              <w:pStyle w:val="Normal"/>
            </w:pPr>
            <w:r>
              <w:t xml:space="preserve">월 사용량</w:t>
            </w:r>
          </w:p>
        </w:tc>
        <w:tc>
          <w:tcPr>
            <w:tcW w:w="3000" w:type="dxa"/>
            <w:shd w:fill="EAF3FF"/>
          </w:tcPr>
          <w:p>
            <w:pPr>
              <w:pStyle w:val="Normal"/>
            </w:pPr>
            <w:r>
              <w:t xml:space="preserve">부가세 별도</w:t>
            </w:r>
          </w:p>
        </w:tc>
        <w:tc>
          <w:tcPr>
            <w:tcW w:w="3000" w:type="dxa"/>
            <w:shd w:fill="EAF3FF"/>
          </w:tcPr>
          <w:p>
            <w:pPr>
              <w:pStyle w:val="Normal"/>
            </w:pPr>
            <w:r>
              <w:t xml:space="preserve">부가세 포함</w:t>
            </w:r>
          </w:p>
        </w:tc>
      </w:tr>
      <w:tr>
        <w:tc>
          <w:tcPr>
            <w:tcW w:w="3000" w:type="dxa"/>
          </w:tcPr>
          <w:p>
            <w:pPr>
              <w:pStyle w:val="Normal"/>
            </w:pPr>
            <w:r>
              <w:t xml:space="preserve">0GB / 1GB / 50GB</w:t>
            </w:r>
          </w:p>
        </w:tc>
        <w:tc>
          <w:tcPr>
            <w:tcW w:w="3000" w:type="dxa"/>
          </w:tcPr>
          <w:p>
            <w:pPr>
              <w:pStyle w:val="Normal"/>
            </w:pPr>
            <w:r>
              <w:t xml:space="preserve">5,000원</w:t>
            </w:r>
          </w:p>
        </w:tc>
        <w:tc>
          <w:tcPr>
            <w:tcW w:w="3000" w:type="dxa"/>
          </w:tcPr>
          <w:p>
            <w:pPr>
              <w:pStyle w:val="Normal"/>
            </w:pPr>
            <w:r>
              <w:t xml:space="preserve">5,500원</w:t>
            </w:r>
          </w:p>
        </w:tc>
      </w:tr>
      <w:tr>
        <w:tc>
          <w:tcPr>
            <w:tcW w:w="3000" w:type="dxa"/>
          </w:tcPr>
          <w:p>
            <w:pPr>
              <w:pStyle w:val="Normal"/>
            </w:pPr>
            <w:r>
              <w:t xml:space="preserve">51GB</w:t>
            </w:r>
          </w:p>
        </w:tc>
        <w:tc>
          <w:tcPr>
            <w:tcW w:w="3000" w:type="dxa"/>
          </w:tcPr>
          <w:p>
            <w:pPr>
              <w:pStyle w:val="Normal"/>
            </w:pPr>
            <w:r>
              <w:t xml:space="preserve">5,100원</w:t>
            </w:r>
          </w:p>
        </w:tc>
        <w:tc>
          <w:tcPr>
            <w:tcW w:w="3000" w:type="dxa"/>
          </w:tcPr>
          <w:p>
            <w:pPr>
              <w:pStyle w:val="Normal"/>
            </w:pPr>
            <w:r>
              <w:t xml:space="preserve">5,610원</w:t>
            </w:r>
          </w:p>
        </w:tc>
      </w:tr>
      <w:tr>
        <w:tc>
          <w:tcPr>
            <w:tcW w:w="3000" w:type="dxa"/>
          </w:tcPr>
          <w:p>
            <w:pPr>
              <w:pStyle w:val="Normal"/>
            </w:pPr>
            <w:r>
              <w:t xml:space="preserve">60GB</w:t>
            </w:r>
          </w:p>
        </w:tc>
        <w:tc>
          <w:tcPr>
            <w:tcW w:w="3000" w:type="dxa"/>
          </w:tcPr>
          <w:p>
            <w:pPr>
              <w:pStyle w:val="Normal"/>
            </w:pPr>
            <w:r>
              <w:t xml:space="preserve">6,000원</w:t>
            </w:r>
          </w:p>
        </w:tc>
        <w:tc>
          <w:tcPr>
            <w:tcW w:w="3000" w:type="dxa"/>
          </w:tcPr>
          <w:p>
            <w:pPr>
              <w:pStyle w:val="Normal"/>
            </w:pPr>
            <w:r>
              <w:t xml:space="preserve">6,600원</w:t>
            </w:r>
          </w:p>
        </w:tc>
      </w:tr>
      <w:tr>
        <w:tc>
          <w:tcPr>
            <w:tcW w:w="3000" w:type="dxa"/>
          </w:tcPr>
          <w:p>
            <w:pPr>
              <w:pStyle w:val="Normal"/>
            </w:pPr>
            <w:r>
              <w:t xml:space="preserve">100GB</w:t>
            </w:r>
          </w:p>
        </w:tc>
        <w:tc>
          <w:tcPr>
            <w:tcW w:w="3000" w:type="dxa"/>
          </w:tcPr>
          <w:p>
            <w:pPr>
              <w:pStyle w:val="Normal"/>
            </w:pPr>
            <w:r>
              <w:t xml:space="preserve">10,000원</w:t>
            </w:r>
          </w:p>
        </w:tc>
        <w:tc>
          <w:tcPr>
            <w:tcW w:w="3000" w:type="dxa"/>
          </w:tcPr>
          <w:p>
            <w:pPr>
              <w:pStyle w:val="Normal"/>
            </w:pPr>
            <w:r>
              <w:t xml:space="preserve">11,000원</w:t>
            </w:r>
          </w:p>
        </w:tc>
      </w:tr>
    </w:tbl>
    <w:p>
      <w:pPr>
        <w:pStyle w:val="Normal"/>
      </w:pPr>
      <w:r>
        <w:t xml:space="preserve">관리자 페이지에서 잔액과 이용기간을 확인하고, 만료 또는 이용 가능한 트래픽 한도 도달 전에 연장·추가 결제해야 합니다. 1GB 미만은 비례 계산하며, 월 초과요금의 원 미만은 버립니다. 미사용 트래픽은 이월되지 않습니다.</w:t>
      </w:r>
    </w:p>
    <w:p>
      <w:pPr>
        <w:pStyle w:val="Heading1"/>
      </w:pPr>
      <w:r>
        <w:t xml:space="preserve">2. 이용 절차</w:t>
      </w:r>
    </w:p>
    <w:p>
      <w:pPr>
        <w:pStyle w:val="Normal"/>
      </w:pPr>
      <w:r>
        <w:t xml:space="preserve">운영 환경 상담 → 제공 사양·트래픽 집계·백업·지원 조건 확인 및 신청 → 개통 및 이용 현황 관리</w:t>
      </w:r>
    </w:p>
    <w:p>
      <w:pPr>
        <w:pStyle w:val="Normal"/>
      </w:pPr>
      <w:r>
        <w:t xml:space="preserve">관리자 페이지의 잔액과 기간을 확인하고 만료·한도 도달 전에 결제를 완료합니다. 미결제 상태에서 기간이 만료되거나 이용 가능한 트래픽 한도를 초과하면 홈페이지 접근이 차단됩니다.</w:t>
      </w:r>
    </w:p>
    <w:p>
      <w:pPr>
        <w:pStyle w:val="Small"/>
      </w:pPr>
      <w:r>
        <w:t xml:space="preserve">본 문서는 공개 페이지의 요금 및 이용 조건 배포본입니다. 실제 제공 사양은 개별 계약서 또는 신청 확인서에 함께 기재합니다. 문서 다운로드만으로 계약이나 결제가 이루어지지는 않습니다.</w:t>
      </w:r>
    </w:p>
    <w:p>
      <w:r>
        <w:br w:type="page"/>
      </w:r>
    </w:p>
    <w:p>
      <w:pPr>
        <w:pStyle w:val="Heading1"/>
      </w:pPr>
      <w:r>
        <w:t xml:space="preserve">3. 클라우드 호스팅 이용 조건</w:t>
      </w:r>
    </w:p>
    <w:p>
      <w:pPr>
        <w:pStyle w:val="Heading2"/>
      </w:pPr>
      <w:r>
        <w:t xml:space="preserve">제1조 · 적용 범위와 계약 성립</w:t>
      </w:r>
    </w:p>
    <w:p>
      <w:pPr>
        <w:pStyle w:val="Normal"/>
      </w:pPr>
      <w:r>
        <w:t xml:space="preserve">이 조건은 엠브이위즈 시스템(이하 ‘회사’)의 클라우드 웹호스팅 서비스에 적용됩니다. 고객이 서비스 사양·요금·중요 이용 조건을 확인하고 신청한 뒤 회사가 승낙하고 개통일을 안내하면 계약이 성립합니다. 개별 합의는 서면 또는 전자문서로 남기며, 관계 법령의 강행규정을 우선 적용합니다. 이 페이지 열람만으로 계약이나 결제가 이루어지지는 않습니다.</w:t>
      </w:r>
    </w:p>
    <w:p>
      <w:pPr>
        <w:pStyle w:val="Heading2"/>
      </w:pPr>
      <w:r>
        <w:t xml:space="preserve">제2조 · 서비스 범위와 별도 합의</w:t>
      </w:r>
    </w:p>
    <w:p>
      <w:pPr>
        <w:pStyle w:val="Normal"/>
      </w:pPr>
      <w:r>
        <w:t xml:space="preserve">기본 상품은 홈페이지 운영을 위한 웹호스팅입니다. 저장공간, CPU·메모리, 지원 언어·DB, 도메인·인증서, 이전 작업, 기술지원 범위와 응대시간은 개통 전에 서면으로 확정합니다. 전용 서버, 프로그램 개발·수정, 외부 서비스 이용료, 상시 관제, 자동 백업·복구, 특정 가용률이나 복구시간 보장은 별도 합의가 있는 범위에서 제공합니다. 50GB는 저장공간이 아닌 월 트래픽 제공량입니다.</w:t>
      </w:r>
    </w:p>
    <w:p>
      <w:pPr>
        <w:pStyle w:val="Heading2"/>
      </w:pPr>
      <w:r>
        <w:t xml:space="preserve">제3조 · 이용기간과 갱신</w:t>
      </w:r>
    </w:p>
    <w:p>
      <w:pPr>
        <w:pStyle w:val="Normal"/>
      </w:pPr>
      <w:r>
        <w:t xml:space="preserve">이용기간과 트래픽 집계기간은 개통일을 기준으로 1개월입니다. 다음 달에 같은 날짜가 없으면 말일을 기준으로 하며, 구체적인 시작·종료일은 개통 안내에 표시합니다. 포함 트래픽은 매 기간 새로 부여되고 잔여량은 다음 기간으로 이월되지 않습니다. 다음 기간의 이용 의사와 납부를 확인하여 갱신하며, 단순 침묵을 유료 갱신 동의로 처리하지 않습니다.</w:t>
      </w:r>
    </w:p>
    <w:p>
      <w:pPr>
        <w:pStyle w:val="Heading2"/>
      </w:pPr>
      <w:r>
        <w:t xml:space="preserve">제4조 · 기본요금과 초과요금</w:t>
      </w:r>
    </w:p>
    <w:p>
      <w:pPr>
        <w:pStyle w:val="Normal"/>
      </w:pPr>
      <w:r>
        <w:t xml:space="preserve">정상적으로 제공되는 월 서비스의 기본요금은 5,000원이며, 트래픽이 0GB 또는 1GB여도 같습니다. 월 50GB까지 기본요금에 포함되고 50GB를 넘는 분량만 1GB당 100원을 추가합니다. 1GB 미만 초과량은 비례 계산하고 월 초과요금의 원 미만은 버립니다. 기본요금과 초과요금 모두 부가세 별도이며, 공급가액에 부가세 10%를 더해 청구합니다. 법정 청약철회·해지·환불 또는 회사 귀책에 따른 정산은 제10조에 따릅니다.</w:t>
      </w:r>
    </w:p>
    <w:p>
      <w:pPr>
        <w:pStyle w:val="Heading2"/>
      </w:pPr>
      <w:r>
        <w:t xml:space="preserve">제5조 · 트래픽 집계와 청구 확인</w:t>
      </w:r>
    </w:p>
    <w:p>
      <w:pPr>
        <w:pStyle w:val="Normal"/>
      </w:pPr>
      <w:r>
        <w:t xml:space="preserve">기본요금은 해당 이용기간 시작 전에 결제합니다. 고객은 관리자 페이지에 표시된 잔여 금액과 이용기간을 확인하고, 이용기간 만료 또는 이용 가능한 트래픽 한도 도달 전에 연장·추가 결제를 완료해야 합니다. 추가 이용요금은 제4조의 단가와 관리자 페이지의 결제·사용 내역에 따라 확인하며, 미결제에 따른 접근 제한은 제9조에 따릅니다. 집계 대상(송신·수신), GB 환산 기준, 측정 구간, 집계 시각과 사용량 확인 방법은 개통 전 서면으로 안내·합의하며 소급하여 불리하게 변경하지 않습니다. 회사는 청구기간·기본요금·초과량·단가·세액을 구분해 안내하고 이의가 있으면 집계 근거를 확인하여 오류를 정정합니다. 공격이나 비정상 트래픽은 원인과 측정 내역, 각 당사자의 책임을 확인하여 정산하고 일률적으로 고객 책임으로 처리하지 않습니다.</w:t>
      </w:r>
    </w:p>
    <w:p>
      <w:pPr>
        <w:pStyle w:val="Heading2"/>
      </w:pPr>
      <w:r>
        <w:t xml:space="preserve">제6조 · 고객의 관리 의무와 금지행위</w:t>
      </w:r>
    </w:p>
    <w:p>
      <w:pPr>
        <w:pStyle w:val="Normal"/>
      </w:pPr>
      <w:r>
        <w:t xml:space="preserve">고객은 계정·비밀번호, 설치 프로그램의 보안 업데이트, 게시 콘텐츠의 적법성과 사용 권한을 관리하고 이상 징후를 발견하면 회사에 알립니다. 불법 콘텐츠, 저작권 침해, 피싱·스팸·악성코드 배포, 무단 접근·공격, 타 고객의 운영을 방해하는 행위는 금지됩니다. 과도한 자원 사용에 대한 제한은 사전에 고지한 사양과 객관적인 장애 근거에 따라 필요한 범위에서 적용합니다. 고객의 의무가 회사의 시설·보안 관리 의무를 대신하지는 않습니다.</w:t>
      </w:r>
    </w:p>
    <w:p>
      <w:pPr>
        <w:pStyle w:val="Heading2"/>
      </w:pPr>
      <w:r>
        <w:t xml:space="preserve">제7조 · 백업과 데이터 보호</w:t>
      </w:r>
    </w:p>
    <w:p>
      <w:pPr>
        <w:pStyle w:val="Normal"/>
      </w:pPr>
      <w:r>
        <w:t xml:space="preserve">고객은 중요한 파일과 데이터베이스의 독립적인 백업본을 확보하고 복구 가능 여부를 확인해야 합니다. 백업 서비스를 별도 계약하는 경우 대상·주기·보존기간·복구 절차와 비용을 문서로 정합니다. 회사의 운영상 사본은 별도로 약정한 고객용 백업을 대신하지 않으며, 복구 가능성을 무조건 보장하지 않습니다. 다만 회사의 귀책으로 발생한 데이터 손실이나 약정한 백업 의무 위반에 대한 법률상 책임은 배제하지 않습니다.</w:t>
      </w:r>
    </w:p>
    <w:p>
      <w:pPr>
        <w:pStyle w:val="Heading2"/>
      </w:pPr>
      <w:r>
        <w:t xml:space="preserve">제8조 · 점검·장애 및 긴급 조치</w:t>
      </w:r>
    </w:p>
    <w:p>
      <w:pPr>
        <w:pStyle w:val="Normal"/>
      </w:pPr>
      <w:r>
        <w:t xml:space="preserve">회사는 서비스 유지에 필요한 합리적인 조치를 하고, 예정된 점검은 목적·영향·예상 시간을 미리 안내합니다. 장애 발생 시 원인 확인과 복구를 진행하며 확인된 상황과 복구 경과를 안내합니다. 공격 확산이나 심각한 보안 위험처럼 사전 통지가 곤란한 경우 필요한 최소 범위에서 우선 제한하고 사유와 후속 조치를 지체 없이 알립니다. 점검·장애의 책임과 요금 조정은 실제 원인, 귀책사유 및 관계 법령에 따라 판단합니다.</w:t>
      </w:r>
    </w:p>
    <w:p>
      <w:pPr>
        <w:pStyle w:val="Heading2"/>
      </w:pPr>
      <w:r>
        <w:t xml:space="preserve">제9조 · 이용 현황 확인, 연장·추가 결제 및 접근 제한</w:t>
      </w:r>
    </w:p>
    <w:p>
      <w:pPr>
        <w:pStyle w:val="Normal"/>
      </w:pPr>
      <w:r>
        <w:t xml:space="preserve">회사는 클라우드 사용자 관리자 페이지에 잔여 금액(잔액), 이용기간 등 서비스 이용 현황을 표시합니다. 고객은 관리자 페이지에서 이용 현황을 수시로 확인하고, 서비스를 계속 이용하려면 이용기간 만료 전 또는 결제한 금액으로 이용 가능한 트래픽 한도에 도달하기 전에 직접 연장 또는 추가 결제를 완료해야 합니다.</w:t>
      </w:r>
    </w:p>
    <w:p>
      <w:pPr>
        <w:pStyle w:val="Normal"/>
      </w:pPr>
      <w:r>
        <w:t xml:space="preserve">연장 또는 추가 결제가 완료되지 않은 상태에서 이용기간이 만료되거나 이용 가능한 트래픽 한도를 초과하면 해당 홈페이지의 접근이 차단됩니다. 관리자 페이지에 표시된 이용기간과 잔액을 기준으로 고객이 직접 결제를 관리해야 하며, 별도의 개별 연락을 연장·추가 결제의 전제로 하지 않습니다. 다만 관계 법령이나 개별 계약에서 별도 통지를 정한 경우에는 그 절차를 따릅니다.</w:t>
      </w:r>
    </w:p>
    <w:p>
      <w:pPr>
        <w:pStyle w:val="Normal"/>
      </w:pPr>
      <w:r>
        <w:t xml:space="preserve">월 기본 포함량 50GB를 초과하더라도 추가 이용에 필요한 결제가 이루어져 이용 가능한 한도가 남아 있으면 초과 트래픽 단가를 적용하여 이용할 수 있습니다. 결제 완료와 제한 사유의 해소가 확인되면 서비스 접근을 복구합니다. 결제 반영 오류나 이용 현황 표시 오류가 의심되는 경우 고객은 회사에 확인을 요청할 수 있으며, 회사는 관련 내역을 확인하여 필요한 정정 및 복구 조치를 합니다.</w:t>
      </w:r>
    </w:p>
    <w:p>
      <w:pPr>
        <w:pStyle w:val="Normal"/>
      </w:pPr>
      <w:r>
        <w:t xml:space="preserve">그 밖의 계약 위반에 따른 이용 제한은 사유와 시정 방법, 합리적인 시정기간을 안내한 뒤 필요한 범위에서 실시합니다. 긴급한 보안 위험이나 법령상 즉시 조치 의무가 있는 경우에는 제8조에 따릅니다. 홈페이지 접근 차단만으로 계약 종료나 데이터 삭제가 이루어지는 것은 아니며, 계약 종료·정산·데이터 반출은 제10조와 관계 법령에 따릅니다.</w:t>
      </w:r>
    </w:p>
    <w:p>
      <w:pPr>
        <w:pStyle w:val="Heading2"/>
      </w:pPr>
      <w:r>
        <w:t xml:space="preserve">제10조 · 해지·환불과 데이터 반환</w:t>
      </w:r>
    </w:p>
    <w:p>
      <w:pPr>
        <w:pStyle w:val="Normal"/>
      </w:pPr>
      <w:r>
        <w:t xml:space="preserve">고객은 아래 연락처로 해지를 요청할 수 있습니다. 회사는 본인 확인 후 종료 희망일과 최종 요금, 환불 여부·산정 근거·처리일정을 안내합니다. 미개통 서비스의 선납 기본요금은 환불하고, 개통 후 정산은 실제 제공기간·초과 사용량 및 적용 법령에 따릅니다. 법정 청약철회·중도해지·환불 권리를 제한하지 않으며 회사 귀책으로 제공하지 못한 부분은 감액 또는 환불합니다. 트래픽을 적게 사용했다는 사유만으로 정상 제공된 월 기본요금이 사용량에 비례해 줄어들지는 않습니다. 종료 전에 데이터 반출 방법·기한·삭제일을 개별 안내하고 합리적인 반출 기회를 제공합니다. 법정 보존자료는 분리 보관하며, 고지한 삭제일 이후 삭제된 데이터의 복구를 보장하지 않습니다.</w:t>
      </w:r>
    </w:p>
    <w:p>
      <w:pPr>
        <w:pStyle w:val="Heading2"/>
      </w:pPr>
      <w:r>
        <w:t xml:space="preserve">제11조 · 손해배상과 책임 한계</w:t>
      </w:r>
    </w:p>
    <w:p>
      <w:pPr>
        <w:pStyle w:val="Normal"/>
      </w:pPr>
      <w:r>
        <w:t xml:space="preserve">회사의 귀책으로 계약상 의무를 위반하여 고객에게 손해가 발생하면 관계 법령에 따라 책임을 부담합니다. 배상 범위는 발생 원인·인과관계·귀책 정도를 바탕으로 정하며, 통상손해와 특별한 사정에 따른 손해의 요건은 민법 제393조에 따릅니다. 매출 감소·기대이익·제3자 청구가 발생했다는 사유만으로 그 전액을 자동 보장하지 않되, 법률상 배상요건을 충족하는 손해까지 일괄 배제하지 않습니다. 회사 및 이행보조자의 고의·중과실, 강행법규상 책임은 이 조건으로 면제하거나 제한하지 않습니다.</w:t>
      </w:r>
    </w:p>
    <w:p>
      <w:pPr>
        <w:pStyle w:val="Heading2"/>
      </w:pPr>
      <w:r>
        <w:t xml:space="preserve">제12조 · 외부 요인과 공동 책임</w:t>
      </w:r>
    </w:p>
    <w:p>
      <w:pPr>
        <w:pStyle w:val="Normal"/>
      </w:pPr>
      <w:r>
        <w:t xml:space="preserve">천재지변 등 합리적으로 통제할 수 없는 사유나 고객의 설정·프로그램·제3자 서비스로 인해 발생한 장애는 회사의 귀책이 없는 범위에서 책임을 부담하지 않습니다. 외부 통신망·클라우드 사업자를 이용한다는 사정만으로 회사의 책임이 모두 면제되지는 않습니다. 회사의 관리상 과실이나 대응 지연이 손해를 키운 경우 그 책임을 함께 판단합니다. 고객에게도 손해의 발생·확대에 책임이 있다면 관계 법령에 따라 배상 범위에 반영합니다.</w:t>
      </w:r>
    </w:p>
    <w:p>
      <w:pPr>
        <w:pStyle w:val="Heading2"/>
      </w:pPr>
      <w:r>
        <w:t xml:space="preserve">제13조 · 개인정보·비밀유지와 조건 변경</w:t>
      </w:r>
    </w:p>
    <w:p>
      <w:pPr>
        <w:pStyle w:val="Normal"/>
      </w:pPr>
      <w:r>
        <w:t xml:space="preserve">양 당사자는 계약 수행 중 알게 된 상대방의 비공개 정보를 정당한 사유 없이 누설하지 않습니다. 개인정보 처리는 실제 역할에 맞는 법적 의무를 따르고, 처리위탁에 해당하면 위탁 범위·보호조치·재위탁·반환 및 파기 조건을 별도 문서로 정합니다. 요금이나 중요한 조건의 변경은 내용·이유·적용일을 사전에 안내하고 필요한 동의 절차를 거칩니다. 기존 계약에 불리한 변경을 일방적으로 소급 적용하지 않습니다.</w:t>
      </w:r>
    </w:p>
    <w:p>
      <w:pPr>
        <w:pStyle w:val="Heading2"/>
      </w:pPr>
      <w:r>
        <w:t xml:space="preserve">제14조 · 문의와 분쟁 해결</w:t>
      </w:r>
    </w:p>
    <w:p>
      <w:pPr>
        <w:pStyle w:val="Normal"/>
      </w:pPr>
      <w:r>
        <w:t xml:space="preserve">신청·청구 이의·장애·해지 관련 문의는 010-9335-0529로 접수합니다. 회사와 고객은 관련 자료를 확인하여 우선 협의하고, 해결되지 않은 분쟁은 관계 법령에 따른 분쟁조정 또는 관할 법원 절차를 이용할 수 있습니다. 고객에게 부당하게 불리한 전속관할을 강제하지 않습니다. 이 조건에 정하지 않은 사항은 개별 합의와 대한민국의 관계 법령에 따릅니다.</w:t>
      </w:r>
    </w:p>
    <w:p>
      <w:pPr>
        <w:pStyle w:val="Heading1"/>
      </w:pPr>
      <w:r>
        <w:t xml:space="preserve">문의 및 출처</w:t>
      </w:r>
    </w:p>
    <w:p>
      <w:pPr>
        <w:pStyle w:val="Normal"/>
      </w:pPr>
      <w:r>
        <w:t xml:space="preserve">문의: 010-9335-0529 · https://www.mvwz.net/doc/cloud</w:t>
      </w:r>
    </w:p>
    <w:p>
      <w:pPr>
        <w:pStyle w:val="Small"/>
      </w:pPr>
      <w:r>
        <w:t xml:space="preserve">약관의 규제에 관한 법률: https://law.go.kr/LSW/lsLinkCommonInfo.do?chrClsCd=010202&amp;lsJoLnkSeq=1025032399</w:t>
      </w:r>
    </w:p>
    <w:p>
      <w:pPr>
        <w:pStyle w:val="Small"/>
      </w:pPr>
      <w:r>
        <w:t xml:space="preserve">민법 제393조: https://www.law.go.kr/lsLinkCommonInfo.do?chrClsCd=010202&amp;lsJoLnkSeq=1026989965</w:t>
      </w:r>
    </w:p>
    <w:sectPr>
      <w:pgSz w:w="11906" w:h="16838"/>
      <w:pgMar w:top="1134" w:right="1134" w:bottom="1134" w:left="1134"/>
    </w:sectPr>
  </w:body>
</w:document>
</file>

<file path=word/styles.xml><?xml version="1.0" encoding="utf-8"?>
<w:styles xmlns:w="http://schemas.openxmlformats.org/wordprocessingml/2006/main">
  <w:docDefaults>
    <w:rPrDefault>
      <w:rPr>
        <w:rFonts w:ascii="Calibri" w:hAnsi="Calibri" w:eastAsia="맑은 고딕"/>
        <w:sz w:val="21"/>
        <w:lang w:val="ko-KR" w:eastAsia="ko-KR"/>
      </w:rPr>
    </w:rPrDefault>
    <w:pPrDefault>
      <w:pPr>
        <w:spacing w:after="160" w:line="330" w:lineRule="auto"/>
        <w:widowControl/>
      </w:pPr>
    </w:pPrDefault>
  </w:docDefaults>
  <w:style w:type="paragraph" w:styleId="Normal" w:default="1">
    <w:name w:val="Normal"/>
    <w:pPr/>
    <w:rPr>
      <w:sz w:val="21"/>
      <w:color w:val="172B45"/>
    </w:rPr>
  </w:style>
  <w:style w:type="paragraph" w:styleId="Title">
    <w:name w:val="Title"/>
    <w:pPr>
      <w:keepNext/>
      <w:spacing w:before="220" w:after="160"/>
    </w:pPr>
    <w:rPr>
      <w:sz w:val="42"/>
      <w:color w:val="0067D9"/>
      <w:b/>
    </w:rPr>
  </w:style>
  <w:style w:type="paragraph" w:styleId="Subtitle">
    <w:name w:val="Subtitle"/>
    <w:pPr/>
    <w:rPr>
      <w:sz w:val="26"/>
      <w:color w:val="172B45"/>
    </w:rPr>
  </w:style>
  <w:style w:type="paragraph" w:styleId="Heading1">
    <w:name w:val="Heading1"/>
    <w:pPr>
      <w:keepNext/>
      <w:spacing w:before="220" w:after="160"/>
    </w:pPr>
    <w:rPr>
      <w:sz w:val="29"/>
      <w:color w:val="0067D9"/>
      <w:b/>
    </w:rPr>
  </w:style>
  <w:style w:type="paragraph" w:styleId="Heading2">
    <w:name w:val="Heading2"/>
    <w:pPr>
      <w:keepNext/>
      <w:spacing w:before="220" w:after="160"/>
    </w:pPr>
    <w:rPr>
      <w:sz w:val="24"/>
      <w:color w:val="172B45"/>
      <w:b/>
    </w:rPr>
  </w:style>
  <w:style w:type="paragraph" w:styleId="Small">
    <w:name w:val="Small"/>
    <w:pPr/>
    <w:rPr>
      <w:sz w:val="17"/>
      <w:color w:val="172B45"/>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